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17</w:t>
      </w:r>
      <w:bookmarkStart w:id="0" w:name="_GoBack"/>
      <w:bookmarkEnd w:id="0"/>
      <w:r w:rsidRPr="00A54700">
        <w:rPr>
          <w:sz w:val="24"/>
          <w:szCs w:val="24"/>
        </w:rPr>
        <w:t xml:space="preserve">. Бонитировка почв. </w:t>
      </w:r>
    </w:p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A54700">
        <w:rPr>
          <w:sz w:val="24"/>
          <w:szCs w:val="24"/>
        </w:rPr>
        <w:t>18. Методики определения запасов гумуса.</w:t>
      </w:r>
    </w:p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A54700">
        <w:rPr>
          <w:sz w:val="24"/>
          <w:szCs w:val="24"/>
        </w:rPr>
        <w:t>19. Природные и экономические факторы, влияющие на земельную ренту.</w:t>
      </w:r>
    </w:p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A54700">
        <w:rPr>
          <w:sz w:val="24"/>
          <w:szCs w:val="24"/>
        </w:rPr>
        <w:t>20. Выбор оцениваемых параметров при бонитировке почв.</w:t>
      </w:r>
    </w:p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A54700">
        <w:rPr>
          <w:sz w:val="24"/>
          <w:szCs w:val="24"/>
        </w:rPr>
        <w:t xml:space="preserve">21. Методики построения </w:t>
      </w:r>
      <w:proofErr w:type="spellStart"/>
      <w:r w:rsidRPr="00A54700">
        <w:rPr>
          <w:sz w:val="24"/>
          <w:szCs w:val="24"/>
        </w:rPr>
        <w:t>бонитировочной</w:t>
      </w:r>
      <w:proofErr w:type="spellEnd"/>
      <w:r w:rsidRPr="00A54700">
        <w:rPr>
          <w:sz w:val="24"/>
          <w:szCs w:val="24"/>
        </w:rPr>
        <w:t xml:space="preserve"> шкалы.</w:t>
      </w:r>
    </w:p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A54700">
        <w:rPr>
          <w:sz w:val="24"/>
          <w:szCs w:val="24"/>
        </w:rPr>
        <w:t>22. Статистическая обработка исходных данных для целей бонитировки.</w:t>
      </w:r>
    </w:p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A54700">
        <w:rPr>
          <w:sz w:val="24"/>
          <w:szCs w:val="24"/>
        </w:rPr>
        <w:t>23. Поправочные коэффициенты, влияющие на почвенное плодородие. Расч</w:t>
      </w:r>
      <w:r>
        <w:rPr>
          <w:sz w:val="24"/>
          <w:szCs w:val="24"/>
        </w:rPr>
        <w:t>ё</w:t>
      </w:r>
      <w:r w:rsidRPr="00A54700">
        <w:rPr>
          <w:sz w:val="24"/>
          <w:szCs w:val="24"/>
        </w:rPr>
        <w:t xml:space="preserve">т баллов бонитета. </w:t>
      </w:r>
    </w:p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A54700">
        <w:rPr>
          <w:sz w:val="24"/>
          <w:szCs w:val="24"/>
        </w:rPr>
        <w:t>24. Расч</w:t>
      </w:r>
      <w:r>
        <w:rPr>
          <w:sz w:val="24"/>
          <w:szCs w:val="24"/>
        </w:rPr>
        <w:t>ё</w:t>
      </w:r>
      <w:r w:rsidRPr="00A54700">
        <w:rPr>
          <w:sz w:val="24"/>
          <w:szCs w:val="24"/>
        </w:rPr>
        <w:t>т средневзвешенных баллов бонитета хозяйств и района.</w:t>
      </w:r>
    </w:p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A54700">
        <w:rPr>
          <w:sz w:val="24"/>
          <w:szCs w:val="24"/>
        </w:rPr>
        <w:t>25. Принципы и содержание экономической оценки земель</w:t>
      </w:r>
      <w:r>
        <w:rPr>
          <w:sz w:val="24"/>
          <w:szCs w:val="24"/>
        </w:rPr>
        <w:t>.</w:t>
      </w:r>
    </w:p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A54700">
        <w:rPr>
          <w:sz w:val="24"/>
          <w:szCs w:val="24"/>
        </w:rPr>
        <w:t>26. Методы экономической оценки земель. Основные показатели экономической оценки земель.</w:t>
      </w:r>
    </w:p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A54700">
        <w:rPr>
          <w:sz w:val="24"/>
          <w:szCs w:val="24"/>
        </w:rPr>
        <w:t>27. Расч</w:t>
      </w:r>
      <w:r>
        <w:rPr>
          <w:sz w:val="24"/>
          <w:szCs w:val="24"/>
        </w:rPr>
        <w:t>ё</w:t>
      </w:r>
      <w:r w:rsidRPr="00A54700">
        <w:rPr>
          <w:sz w:val="24"/>
          <w:szCs w:val="24"/>
        </w:rPr>
        <w:t xml:space="preserve">тная урожайность. Окупаемость затрат. Чистый доход. Дифференцированный доход. </w:t>
      </w:r>
    </w:p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A54700">
        <w:rPr>
          <w:sz w:val="24"/>
          <w:szCs w:val="24"/>
        </w:rPr>
        <w:t>28. Построение шкалы экономической оценки земель.</w:t>
      </w:r>
    </w:p>
    <w:p w:rsidR="00455E94" w:rsidRPr="00D60793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D60793">
        <w:rPr>
          <w:sz w:val="24"/>
          <w:szCs w:val="24"/>
        </w:rPr>
        <w:t>29. Организационная структура ведения государственного земельного кадастра в Республике Казахстан.</w:t>
      </w:r>
    </w:p>
    <w:p w:rsidR="00455E94" w:rsidRPr="00A54700" w:rsidRDefault="00455E94" w:rsidP="00455E94">
      <w:pPr>
        <w:pStyle w:val="a3"/>
        <w:spacing w:after="0"/>
        <w:ind w:firstLine="720"/>
        <w:jc w:val="both"/>
        <w:rPr>
          <w:sz w:val="24"/>
          <w:szCs w:val="24"/>
        </w:rPr>
      </w:pPr>
      <w:r w:rsidRPr="00A54700">
        <w:rPr>
          <w:sz w:val="24"/>
          <w:szCs w:val="24"/>
        </w:rPr>
        <w:t xml:space="preserve">30. </w:t>
      </w:r>
      <w:r>
        <w:rPr>
          <w:sz w:val="24"/>
          <w:szCs w:val="24"/>
        </w:rPr>
        <w:t>Правовой режим земель сельскохозяйственного назначения</w:t>
      </w:r>
      <w:r w:rsidRPr="00A54700">
        <w:rPr>
          <w:sz w:val="24"/>
          <w:szCs w:val="24"/>
        </w:rPr>
        <w:t>.</w:t>
      </w:r>
    </w:p>
    <w:p w:rsidR="00455E94" w:rsidRPr="00DB3528" w:rsidRDefault="00455E94" w:rsidP="00455E94">
      <w:pPr>
        <w:jc w:val="both"/>
        <w:rPr>
          <w:b/>
          <w:sz w:val="24"/>
          <w:szCs w:val="24"/>
        </w:rPr>
      </w:pPr>
    </w:p>
    <w:p w:rsidR="00455E94" w:rsidRPr="00DB3528" w:rsidRDefault="00455E94" w:rsidP="00455E94">
      <w:pPr>
        <w:jc w:val="both"/>
        <w:rPr>
          <w:b/>
          <w:sz w:val="24"/>
          <w:szCs w:val="24"/>
        </w:rPr>
      </w:pPr>
    </w:p>
    <w:p w:rsidR="000520C3" w:rsidRDefault="000520C3"/>
    <w:sectPr w:rsidR="000520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984"/>
    <w:rsid w:val="000520C3"/>
    <w:rsid w:val="00455E94"/>
    <w:rsid w:val="007E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C0F43"/>
  <w15:chartTrackingRefBased/>
  <w15:docId w15:val="{1EF3747E-071B-4C97-9C21-0301F6A29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5E9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55E94"/>
    <w:pPr>
      <w:spacing w:after="120"/>
    </w:pPr>
  </w:style>
  <w:style w:type="character" w:customStyle="1" w:styleId="a4">
    <w:name w:val="Основной текст Знак"/>
    <w:basedOn w:val="a0"/>
    <w:link w:val="a3"/>
    <w:rsid w:val="00455E9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764</Characters>
  <Application>Microsoft Office Word</Application>
  <DocSecurity>0</DocSecurity>
  <Lines>6</Lines>
  <Paragraphs>1</Paragraphs>
  <ScaleCrop>false</ScaleCrop>
  <Company>diakov.net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2020-04-07T18:13:00Z</dcterms:created>
  <dcterms:modified xsi:type="dcterms:W3CDTF">2020-04-07T18:13:00Z</dcterms:modified>
</cp:coreProperties>
</file>